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669CB" w14:textId="17201888" w:rsidR="00DC5CA9" w:rsidRPr="00DA12F7" w:rsidRDefault="00DC5CA9" w:rsidP="00DC5CA9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712551">
        <w:rPr>
          <w:rFonts w:ascii="Arial" w:hAnsi="Arial" w:cs="Arial"/>
          <w:b/>
          <w:sz w:val="24"/>
        </w:rPr>
        <w:t>90</w:t>
      </w:r>
      <w:r w:rsidR="00E44409">
        <w:rPr>
          <w:rFonts w:ascii="Arial" w:hAnsi="Arial" w:cs="Arial"/>
          <w:b/>
          <w:sz w:val="24"/>
        </w:rPr>
        <w:t>b</w:t>
      </w:r>
      <w:r w:rsidRPr="00DA12F7">
        <w:rPr>
          <w:rFonts w:ascii="Arial" w:hAnsi="Arial" w:cs="Arial"/>
          <w:b/>
          <w:sz w:val="24"/>
        </w:rPr>
        <w:tab/>
      </w:r>
      <w:r w:rsidR="00993D3B" w:rsidRPr="00993D3B">
        <w:rPr>
          <w:rFonts w:ascii="Arial" w:hAnsi="Arial" w:cs="Arial"/>
          <w:b/>
          <w:sz w:val="24"/>
        </w:rPr>
        <w:t>R1-1718101</w:t>
      </w:r>
      <w:bookmarkStart w:id="0" w:name="_GoBack"/>
      <w:bookmarkEnd w:id="0"/>
    </w:p>
    <w:p w14:paraId="3CB584CF" w14:textId="3FAFDB27" w:rsidR="00DC5CA9" w:rsidRPr="00DA12F7" w:rsidRDefault="00E44409" w:rsidP="00DC5CA9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October 9</w:t>
      </w:r>
      <w:r w:rsidRPr="00E44409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-13</w:t>
      </w:r>
      <w:r w:rsidRPr="00E44409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C5CA9" w:rsidRPr="00DA12F7">
        <w:rPr>
          <w:rFonts w:ascii="Arial" w:hAnsi="Arial" w:cs="Arial"/>
          <w:b/>
          <w:sz w:val="24"/>
          <w:szCs w:val="24"/>
        </w:rPr>
        <w:t>, 201</w:t>
      </w:r>
      <w:r w:rsidR="00F243AF">
        <w:rPr>
          <w:rFonts w:ascii="Arial" w:hAnsi="Arial" w:cs="Arial"/>
          <w:b/>
          <w:sz w:val="24"/>
          <w:szCs w:val="24"/>
        </w:rPr>
        <w:t>7</w:t>
      </w:r>
    </w:p>
    <w:p w14:paraId="1AB4E0E7" w14:textId="143818C0" w:rsidR="00DC5CA9" w:rsidRPr="00DA12F7" w:rsidRDefault="00712551" w:rsidP="00DC5CA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DC5CA9">
        <w:rPr>
          <w:rFonts w:ascii="Arial" w:hAnsi="Arial" w:cs="Arial"/>
          <w:b/>
          <w:sz w:val="24"/>
          <w:szCs w:val="24"/>
        </w:rPr>
        <w:t xml:space="preserve">, </w:t>
      </w:r>
      <w:r w:rsidR="00B3543A">
        <w:rPr>
          <w:rFonts w:ascii="Arial" w:hAnsi="Arial" w:cs="Arial"/>
          <w:b/>
          <w:sz w:val="24"/>
          <w:szCs w:val="24"/>
        </w:rPr>
        <w:t>C</w:t>
      </w:r>
      <w:r>
        <w:rPr>
          <w:rFonts w:ascii="Arial" w:hAnsi="Arial" w:cs="Arial"/>
          <w:b/>
          <w:sz w:val="24"/>
          <w:szCs w:val="24"/>
        </w:rPr>
        <w:t>zech Republic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2B6F9B28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E44409">
        <w:rPr>
          <w:rFonts w:ascii="Arial" w:hAnsi="Arial"/>
          <w:sz w:val="24"/>
        </w:rPr>
        <w:t>6</w:t>
      </w:r>
      <w:r w:rsidR="00FD45CD" w:rsidRPr="00C14FE4">
        <w:rPr>
          <w:rFonts w:ascii="Arial" w:hAnsi="Arial"/>
          <w:sz w:val="24"/>
        </w:rPr>
        <w:t>.</w:t>
      </w:r>
      <w:r w:rsidR="00961BF6">
        <w:rPr>
          <w:rFonts w:ascii="Arial" w:hAnsi="Arial"/>
          <w:sz w:val="24"/>
        </w:rPr>
        <w:t>2</w:t>
      </w:r>
      <w:r w:rsidR="00FD45CD" w:rsidRPr="00C14FE4">
        <w:rPr>
          <w:rFonts w:ascii="Arial" w:hAnsi="Arial"/>
          <w:sz w:val="24"/>
        </w:rPr>
        <w:t>.</w:t>
      </w:r>
      <w:r w:rsidR="00301FF3">
        <w:rPr>
          <w:rFonts w:ascii="Arial" w:hAnsi="Arial"/>
          <w:sz w:val="24"/>
        </w:rPr>
        <w:t>1</w:t>
      </w:r>
      <w:r w:rsidR="00FA35AF">
        <w:rPr>
          <w:rFonts w:ascii="Arial" w:hAnsi="Arial"/>
          <w:sz w:val="24"/>
        </w:rPr>
        <w:t>.2</w:t>
      </w:r>
      <w:r w:rsidR="00116B51">
        <w:rPr>
          <w:rFonts w:ascii="Arial" w:hAnsi="Arial"/>
          <w:sz w:val="24"/>
        </w:rPr>
        <w:t>.</w:t>
      </w:r>
      <w:r w:rsidR="00F243AF">
        <w:rPr>
          <w:rFonts w:ascii="Arial" w:hAnsi="Arial"/>
          <w:sz w:val="24"/>
        </w:rPr>
        <w:t>1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68847DD8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B3543A">
        <w:rPr>
          <w:rFonts w:ascii="Arial" w:hAnsi="Arial"/>
          <w:sz w:val="22"/>
        </w:rPr>
        <w:t xml:space="preserve">Aspects Related to </w:t>
      </w:r>
      <w:r w:rsidR="00E44409">
        <w:rPr>
          <w:rFonts w:ascii="Arial" w:hAnsi="Arial"/>
          <w:sz w:val="22"/>
        </w:rPr>
        <w:t>Interaction between Different TTI Lengths</w:t>
      </w:r>
    </w:p>
    <w:p w14:paraId="49902DBA" w14:textId="77777777" w:rsidR="00FD4EEA" w:rsidRDefault="00FD4EEA" w:rsidP="00382B96">
      <w:pPr>
        <w:tabs>
          <w:tab w:val="left" w:pos="1985"/>
        </w:tabs>
        <w:ind w:right="-441"/>
        <w:rPr>
          <w:rFonts w:ascii="Arial" w:hAnsi="Arial"/>
          <w:b/>
          <w:sz w:val="24"/>
        </w:rPr>
      </w:pPr>
    </w:p>
    <w:p w14:paraId="4E9088AE" w14:textId="6FEBF12D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53E631D3" w:rsidR="00491EEE" w:rsidRDefault="00B209B5" w:rsidP="006F510F">
      <w:pPr>
        <w:pStyle w:val="Heading1"/>
        <w:numPr>
          <w:ilvl w:val="0"/>
          <w:numId w:val="15"/>
        </w:numPr>
      </w:pPr>
      <w:r w:rsidRPr="00CC27F5">
        <w:t>Introduction</w:t>
      </w:r>
    </w:p>
    <w:p w14:paraId="41124198" w14:textId="15C5B9E8" w:rsidR="00E44409" w:rsidRDefault="00E44409" w:rsidP="00E44409">
      <w:pPr>
        <w:tabs>
          <w:tab w:val="right" w:pos="9630"/>
        </w:tabs>
        <w:spacing w:after="0"/>
      </w:pPr>
      <w:r>
        <w:rPr>
          <w:lang w:val="en-GB"/>
        </w:rPr>
        <w:t xml:space="preserve">This paper is a revised version of </w:t>
      </w:r>
      <w:r w:rsidRPr="00E44409">
        <w:rPr>
          <w:bCs/>
          <w:szCs w:val="16"/>
        </w:rPr>
        <w:t>R1-1712776</w:t>
      </w:r>
      <w:r>
        <w:t>.</w:t>
      </w:r>
    </w:p>
    <w:p w14:paraId="6A40D10C" w14:textId="11EE77B1" w:rsidR="005F5B3F" w:rsidRDefault="005F5B3F" w:rsidP="005F5B3F">
      <w:pPr>
        <w:jc w:val="both"/>
      </w:pPr>
      <w:r>
        <w:t>The following agreements were made in RAN1#90:</w:t>
      </w:r>
    </w:p>
    <w:p w14:paraId="72870607" w14:textId="77777777" w:rsidR="005F5B3F" w:rsidRPr="005F5B3F" w:rsidRDefault="005F5B3F" w:rsidP="005F5B3F">
      <w:pPr>
        <w:rPr>
          <w:rFonts w:eastAsia="MS Mincho"/>
          <w:b/>
          <w:bCs/>
          <w:iCs/>
          <w:u w:val="single"/>
          <w:lang w:eastAsia="ja-JP"/>
        </w:rPr>
      </w:pPr>
      <w:r w:rsidRPr="005F5B3F">
        <w:rPr>
          <w:rFonts w:eastAsia="MS Mincho"/>
          <w:b/>
          <w:bCs/>
          <w:iCs/>
          <w:highlight w:val="green"/>
          <w:u w:val="single"/>
          <w:lang w:eastAsia="ja-JP"/>
        </w:rPr>
        <w:t>Agreement:</w:t>
      </w:r>
    </w:p>
    <w:p w14:paraId="40FF2D7C" w14:textId="77777777" w:rsidR="005F5B3F" w:rsidRPr="005F5B3F" w:rsidRDefault="005F5B3F" w:rsidP="005F5B3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5F5B3F">
        <w:rPr>
          <w:rFonts w:eastAsia="MS Mincho"/>
          <w:i/>
          <w:lang w:eastAsia="ja-JP"/>
        </w:rPr>
        <w:t>In case of switching from 1ms PDSCH scheduled within TTIs n-W</w:t>
      </w:r>
      <w:r w:rsidRPr="005F5B3F">
        <w:rPr>
          <w:rFonts w:eastAsia="MS Mincho"/>
          <w:i/>
          <w:vertAlign w:val="subscript"/>
          <w:lang w:eastAsia="ja-JP"/>
        </w:rPr>
        <w:t>DL</w:t>
      </w:r>
      <w:r w:rsidRPr="005F5B3F">
        <w:rPr>
          <w:rFonts w:eastAsia="MS Mincho"/>
          <w:i/>
          <w:lang w:eastAsia="ja-JP"/>
        </w:rPr>
        <w:t xml:space="preserve"> to n-1(i.e. including all CCs) to an </w:t>
      </w:r>
      <w:proofErr w:type="spellStart"/>
      <w:r w:rsidRPr="005F5B3F">
        <w:rPr>
          <w:rFonts w:eastAsia="MS Mincho"/>
          <w:i/>
          <w:lang w:eastAsia="ja-JP"/>
        </w:rPr>
        <w:t>sPDSCH</w:t>
      </w:r>
      <w:proofErr w:type="spellEnd"/>
      <w:r w:rsidRPr="005F5B3F">
        <w:rPr>
          <w:rFonts w:eastAsia="MS Mincho"/>
          <w:i/>
          <w:lang w:eastAsia="ja-JP"/>
        </w:rPr>
        <w:t xml:space="preserve"> in TTI/subframe n (i.e. including all CCs):</w:t>
      </w:r>
    </w:p>
    <w:p w14:paraId="1880BA1A" w14:textId="77777777" w:rsidR="005F5B3F" w:rsidRPr="005F5B3F" w:rsidRDefault="005F5B3F" w:rsidP="005F5B3F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5F5B3F">
        <w:rPr>
          <w:rFonts w:eastAsia="MS Mincho"/>
          <w:i/>
          <w:lang w:eastAsia="ja-JP"/>
        </w:rPr>
        <w:t>Whether the UE skips processing PDSCH(s) is up to the UE implementation.</w:t>
      </w:r>
    </w:p>
    <w:p w14:paraId="1D7038EF" w14:textId="77777777" w:rsidR="005F5B3F" w:rsidRPr="005F5B3F" w:rsidRDefault="005F5B3F" w:rsidP="005F5B3F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5F5B3F">
        <w:rPr>
          <w:rFonts w:eastAsia="MS Mincho"/>
          <w:i/>
          <w:lang w:eastAsia="ja-JP"/>
        </w:rPr>
        <w:t>In case UE skips PDSCH processing, the legacy procedures are applied. If the UE skips decoding, the physical layer indicates to higher layers that the transport block(s) is not successfully decoded.</w:t>
      </w:r>
    </w:p>
    <w:p w14:paraId="7544F938" w14:textId="77777777" w:rsidR="005F5B3F" w:rsidRPr="005F5B3F" w:rsidRDefault="005F5B3F" w:rsidP="005F5B3F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5F5B3F">
        <w:rPr>
          <w:rFonts w:eastAsia="MS Mincho"/>
          <w:i/>
          <w:lang w:eastAsia="ja-JP"/>
        </w:rPr>
        <w:t>The value of W</w:t>
      </w:r>
      <w:r w:rsidRPr="005F5B3F">
        <w:rPr>
          <w:rFonts w:eastAsia="MS Mincho"/>
          <w:i/>
          <w:vertAlign w:val="subscript"/>
          <w:lang w:eastAsia="ja-JP"/>
        </w:rPr>
        <w:t>DL</w:t>
      </w:r>
      <w:r w:rsidRPr="005F5B3F">
        <w:rPr>
          <w:rFonts w:eastAsia="MS Mincho"/>
          <w:i/>
          <w:lang w:eastAsia="ja-JP"/>
        </w:rPr>
        <w:t xml:space="preserve"> is a UE capability with the value range of 0 to k-1, where k is the DL HARQ processing time. The UE indicates a separate capability per DL </w:t>
      </w:r>
      <w:proofErr w:type="spellStart"/>
      <w:r w:rsidRPr="005F5B3F">
        <w:rPr>
          <w:rFonts w:eastAsia="MS Mincho"/>
          <w:i/>
          <w:lang w:eastAsia="ja-JP"/>
        </w:rPr>
        <w:t>sTTI</w:t>
      </w:r>
      <w:proofErr w:type="spellEnd"/>
      <w:r w:rsidRPr="005F5B3F">
        <w:rPr>
          <w:rFonts w:eastAsia="MS Mincho"/>
          <w:i/>
          <w:lang w:eastAsia="ja-JP"/>
        </w:rPr>
        <w:t xml:space="preserve"> length.</w:t>
      </w:r>
    </w:p>
    <w:p w14:paraId="7219D5B9" w14:textId="77777777" w:rsidR="005F5B3F" w:rsidRPr="005F5B3F" w:rsidRDefault="005F5B3F" w:rsidP="005F5B3F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5F5B3F">
        <w:rPr>
          <w:rFonts w:eastAsia="MS Mincho"/>
          <w:i/>
          <w:lang w:eastAsia="ja-JP"/>
        </w:rPr>
        <w:t>The UE should attempt to skip the processing of as small number of PDSCH(s) as possible.</w:t>
      </w:r>
    </w:p>
    <w:p w14:paraId="64290820" w14:textId="77777777" w:rsidR="005F5B3F" w:rsidRPr="005F5B3F" w:rsidRDefault="005F5B3F" w:rsidP="005F5B3F">
      <w:pPr>
        <w:rPr>
          <w:rFonts w:eastAsia="MS Mincho"/>
          <w:i/>
          <w:lang w:eastAsia="ja-JP"/>
        </w:rPr>
      </w:pPr>
    </w:p>
    <w:p w14:paraId="15299F73" w14:textId="77777777" w:rsidR="005F5B3F" w:rsidRPr="005F5B3F" w:rsidRDefault="005F5B3F" w:rsidP="005F5B3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5F5B3F">
        <w:rPr>
          <w:rFonts w:eastAsia="MS Mincho"/>
          <w:i/>
          <w:lang w:eastAsia="ja-JP"/>
        </w:rPr>
        <w:t>In case of switching from the reception of PUSCH grants within TTIs n-W</w:t>
      </w:r>
      <w:r w:rsidRPr="005F5B3F">
        <w:rPr>
          <w:rFonts w:eastAsia="MS Mincho"/>
          <w:i/>
          <w:vertAlign w:val="subscript"/>
          <w:lang w:eastAsia="ja-JP"/>
        </w:rPr>
        <w:t>UL</w:t>
      </w:r>
      <w:r w:rsidRPr="005F5B3F">
        <w:rPr>
          <w:rFonts w:eastAsia="MS Mincho"/>
          <w:i/>
          <w:lang w:eastAsia="ja-JP"/>
        </w:rPr>
        <w:t xml:space="preserve"> to n-1 (i.e. including all CCs) to the </w:t>
      </w:r>
      <w:proofErr w:type="spellStart"/>
      <w:r w:rsidRPr="005F5B3F">
        <w:rPr>
          <w:rFonts w:eastAsia="MS Mincho"/>
          <w:i/>
          <w:lang w:eastAsia="ja-JP"/>
        </w:rPr>
        <w:t>sPUSCH</w:t>
      </w:r>
      <w:proofErr w:type="spellEnd"/>
      <w:r w:rsidRPr="005F5B3F">
        <w:rPr>
          <w:rFonts w:eastAsia="MS Mincho"/>
          <w:i/>
          <w:lang w:eastAsia="ja-JP"/>
        </w:rPr>
        <w:t xml:space="preserve"> grant in TTI/subframe n (i.e. including all CCs):</w:t>
      </w:r>
    </w:p>
    <w:p w14:paraId="78D6C0DC" w14:textId="77777777" w:rsidR="005F5B3F" w:rsidRPr="005F5B3F" w:rsidRDefault="005F5B3F" w:rsidP="005F5B3F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5F5B3F">
        <w:rPr>
          <w:rFonts w:eastAsia="MS Mincho"/>
          <w:i/>
          <w:lang w:eastAsia="ja-JP"/>
        </w:rPr>
        <w:t xml:space="preserve">Whether the UE skips processing/transmission of PUSCH(s) is up to the UE implementation. </w:t>
      </w:r>
    </w:p>
    <w:p w14:paraId="61B1C011" w14:textId="77777777" w:rsidR="005F5B3F" w:rsidRPr="005F5B3F" w:rsidRDefault="005F5B3F" w:rsidP="005F5B3F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5F5B3F">
        <w:rPr>
          <w:rFonts w:eastAsia="MS Mincho"/>
          <w:i/>
          <w:lang w:eastAsia="ja-JP"/>
        </w:rPr>
        <w:t xml:space="preserve">As in case of </w:t>
      </w:r>
      <w:proofErr w:type="spellStart"/>
      <w:r w:rsidRPr="005F5B3F">
        <w:rPr>
          <w:rFonts w:eastAsia="MS Mincho"/>
          <w:i/>
          <w:lang w:eastAsia="ja-JP"/>
        </w:rPr>
        <w:t>eLAA</w:t>
      </w:r>
      <w:proofErr w:type="spellEnd"/>
      <w:r w:rsidRPr="005F5B3F">
        <w:rPr>
          <w:rFonts w:eastAsia="MS Mincho"/>
          <w:i/>
          <w:lang w:eastAsia="ja-JP"/>
        </w:rPr>
        <w:t xml:space="preserve"> procedures, also in case of skipping, the UE should request data from higher layers based on the issued PUSCH grant(s)</w:t>
      </w:r>
    </w:p>
    <w:p w14:paraId="7B2227A9" w14:textId="77777777" w:rsidR="005F5B3F" w:rsidRPr="005F5B3F" w:rsidRDefault="005F5B3F" w:rsidP="005F5B3F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5F5B3F">
        <w:rPr>
          <w:rFonts w:eastAsia="MS Mincho"/>
          <w:i/>
          <w:lang w:eastAsia="ja-JP"/>
        </w:rPr>
        <w:t>The value of W</w:t>
      </w:r>
      <w:r w:rsidRPr="005F5B3F">
        <w:rPr>
          <w:rFonts w:eastAsia="MS Mincho"/>
          <w:i/>
          <w:vertAlign w:val="subscript"/>
          <w:lang w:eastAsia="ja-JP"/>
        </w:rPr>
        <w:t>UL</w:t>
      </w:r>
      <w:r w:rsidRPr="005F5B3F">
        <w:rPr>
          <w:rFonts w:eastAsia="MS Mincho"/>
          <w:i/>
          <w:lang w:eastAsia="ja-JP"/>
        </w:rPr>
        <w:t xml:space="preserve"> is a UE capability with the value range of 0 to k-1, where k is the 1ms TTI UL scheduling time. The UE indicates a separate capability per UL </w:t>
      </w:r>
      <w:proofErr w:type="spellStart"/>
      <w:r w:rsidRPr="005F5B3F">
        <w:rPr>
          <w:rFonts w:eastAsia="MS Mincho"/>
          <w:i/>
          <w:lang w:eastAsia="ja-JP"/>
        </w:rPr>
        <w:t>sTTI</w:t>
      </w:r>
      <w:proofErr w:type="spellEnd"/>
      <w:r w:rsidRPr="005F5B3F">
        <w:rPr>
          <w:rFonts w:eastAsia="MS Mincho"/>
          <w:i/>
          <w:lang w:eastAsia="ja-JP"/>
        </w:rPr>
        <w:t xml:space="preserve"> length.</w:t>
      </w:r>
    </w:p>
    <w:p w14:paraId="68587647" w14:textId="77777777" w:rsidR="005F5B3F" w:rsidRPr="005F5B3F" w:rsidRDefault="005F5B3F" w:rsidP="005F5B3F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5F5B3F">
        <w:rPr>
          <w:rFonts w:eastAsia="MS Mincho"/>
          <w:i/>
          <w:lang w:eastAsia="ja-JP"/>
        </w:rPr>
        <w:t>The UE should attempt to skip the processing/transmission of as small number of PUSCH(s) as possible.</w:t>
      </w:r>
    </w:p>
    <w:p w14:paraId="6ECA4388" w14:textId="16857912" w:rsidR="00D90176" w:rsidRPr="000A685B" w:rsidRDefault="005F5B3F" w:rsidP="000A685B">
      <w:pPr>
        <w:jc w:val="both"/>
      </w:pPr>
      <w:r>
        <w:br/>
        <w:t xml:space="preserve">This paper presents some more </w:t>
      </w:r>
      <w:r w:rsidR="000A685B">
        <w:t>details related to the above agreement</w:t>
      </w:r>
      <w:r>
        <w:t>.</w:t>
      </w:r>
      <w:bookmarkStart w:id="3" w:name="prop_e"/>
    </w:p>
    <w:p w14:paraId="29DA4486" w14:textId="3F209727" w:rsidR="003A5C0E" w:rsidRDefault="000A685B" w:rsidP="00C22876">
      <w:pPr>
        <w:pStyle w:val="Heading1"/>
        <w:jc w:val="both"/>
        <w:rPr>
          <w:lang w:val="en-US"/>
        </w:rPr>
      </w:pPr>
      <w:r>
        <w:t>2</w:t>
      </w:r>
      <w:r w:rsidR="003A5C0E" w:rsidRPr="00CC27F5">
        <w:tab/>
      </w:r>
      <w:r w:rsidR="00C22876" w:rsidRPr="00C22876">
        <w:rPr>
          <w:lang w:val="en-US"/>
        </w:rPr>
        <w:t xml:space="preserve">Dynamic Scheduling of 1ms TTI and </w:t>
      </w:r>
      <w:proofErr w:type="spellStart"/>
      <w:r w:rsidR="00C22876" w:rsidRPr="00C22876">
        <w:rPr>
          <w:lang w:val="en-US"/>
        </w:rPr>
        <w:t>sTTI</w:t>
      </w:r>
      <w:proofErr w:type="spellEnd"/>
    </w:p>
    <w:p w14:paraId="7E2F653F" w14:textId="2D8459BE" w:rsidR="00B45180" w:rsidRDefault="005F5B3F" w:rsidP="005F5B3F">
      <w:pPr>
        <w:jc w:val="both"/>
        <w:rPr>
          <w:bCs/>
          <w:iCs/>
        </w:rPr>
      </w:pPr>
      <w:r w:rsidRPr="005F5B3F">
        <w:rPr>
          <w:bCs/>
          <w:iCs/>
        </w:rPr>
        <w:t xml:space="preserve">The agreement made in RAN1#90 tackles the issue of dynamic switching from the 1ms TTI to an </w:t>
      </w:r>
      <w:proofErr w:type="spellStart"/>
      <w:r w:rsidRPr="005F5B3F">
        <w:rPr>
          <w:bCs/>
          <w:iCs/>
        </w:rPr>
        <w:t>sTTI</w:t>
      </w:r>
      <w:proofErr w:type="spellEnd"/>
      <w:r w:rsidRPr="005F5B3F">
        <w:rPr>
          <w:bCs/>
          <w:iCs/>
        </w:rPr>
        <w:t xml:space="preserve"> only. However, it is agreed that a UE can be configured with the 2-symbol </w:t>
      </w:r>
      <w:proofErr w:type="spellStart"/>
      <w:r w:rsidRPr="005F5B3F">
        <w:rPr>
          <w:bCs/>
          <w:iCs/>
        </w:rPr>
        <w:t>sTTI</w:t>
      </w:r>
      <w:proofErr w:type="spellEnd"/>
      <w:r w:rsidRPr="005F5B3F">
        <w:rPr>
          <w:bCs/>
          <w:iCs/>
        </w:rPr>
        <w:t xml:space="preserve"> and 1-slot </w:t>
      </w:r>
      <w:proofErr w:type="spellStart"/>
      <w:r w:rsidRPr="005F5B3F">
        <w:rPr>
          <w:bCs/>
          <w:iCs/>
        </w:rPr>
        <w:t>sTTI</w:t>
      </w:r>
      <w:proofErr w:type="spellEnd"/>
      <w:r w:rsidRPr="005F5B3F">
        <w:rPr>
          <w:bCs/>
          <w:iCs/>
        </w:rPr>
        <w:t xml:space="preserve"> in the DL across two PUCCH groups. Likewise, simultaneous transmission of the 2-symbol and 1-slot </w:t>
      </w:r>
      <w:proofErr w:type="spellStart"/>
      <w:r w:rsidRPr="005F5B3F">
        <w:rPr>
          <w:bCs/>
          <w:iCs/>
        </w:rPr>
        <w:t>sTTIs</w:t>
      </w:r>
      <w:proofErr w:type="spellEnd"/>
      <w:r w:rsidRPr="005F5B3F">
        <w:rPr>
          <w:bCs/>
          <w:iCs/>
        </w:rPr>
        <w:t xml:space="preserve"> may be supported in the UL and across different PUCCH groups.</w:t>
      </w:r>
      <w:r>
        <w:rPr>
          <w:bCs/>
          <w:iCs/>
        </w:rPr>
        <w:t xml:space="preserve"> Hence, in general, the previous agreement should be extended to address the dynamic switching from a longer TTI to a shorter TTI in both DL and UL.</w:t>
      </w:r>
    </w:p>
    <w:p w14:paraId="38F71E77" w14:textId="77777777" w:rsidR="005F5B3F" w:rsidRPr="005F5B3F" w:rsidRDefault="005F5B3F" w:rsidP="000D5362">
      <w:pPr>
        <w:overflowPunct/>
        <w:autoSpaceDE/>
        <w:autoSpaceDN/>
        <w:adjustRightInd/>
        <w:spacing w:after="0"/>
        <w:jc w:val="both"/>
        <w:textAlignment w:val="auto"/>
        <w:rPr>
          <w:b/>
          <w:iCs/>
        </w:rPr>
      </w:pPr>
      <w:r w:rsidRPr="005F5B3F">
        <w:rPr>
          <w:b/>
          <w:iCs/>
        </w:rPr>
        <w:t xml:space="preserve">Proposal 1: </w:t>
      </w:r>
    </w:p>
    <w:p w14:paraId="38F03973" w14:textId="30B43F16" w:rsidR="005F5B3F" w:rsidRPr="005F5B3F" w:rsidRDefault="005F5B3F" w:rsidP="000D5362">
      <w:pPr>
        <w:pStyle w:val="ListParagraph"/>
        <w:numPr>
          <w:ilvl w:val="0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In case of switching from </w:t>
      </w:r>
      <w:r>
        <w:rPr>
          <w:rFonts w:eastAsia="MS Mincho"/>
          <w:b/>
          <w:iCs/>
          <w:sz w:val="20"/>
          <w:szCs w:val="20"/>
          <w:lang w:eastAsia="ja-JP"/>
        </w:rPr>
        <w:t>1-slot</w:t>
      </w: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PDSCH scheduled within </w:t>
      </w:r>
      <w:proofErr w:type="spellStart"/>
      <w:r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TTIs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n-W</w:t>
      </w:r>
      <w:r w:rsidRPr="005F5B3F">
        <w:rPr>
          <w:rFonts w:eastAsia="MS Mincho"/>
          <w:b/>
          <w:iCs/>
          <w:sz w:val="20"/>
          <w:szCs w:val="20"/>
          <w:vertAlign w:val="subscript"/>
          <w:lang w:eastAsia="ja-JP"/>
        </w:rPr>
        <w:t>DL</w:t>
      </w: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to n-1</w:t>
      </w:r>
      <w:r>
        <w:rPr>
          <w:rFonts w:eastAsia="MS Mincho"/>
          <w:b/>
          <w:iCs/>
          <w:sz w:val="20"/>
          <w:szCs w:val="20"/>
          <w:lang w:eastAsia="ja-JP"/>
        </w:rPr>
        <w:t xml:space="preserve"> </w:t>
      </w:r>
      <w:r w:rsidRPr="005F5B3F">
        <w:rPr>
          <w:rFonts w:eastAsia="MS Mincho"/>
          <w:b/>
          <w:iCs/>
          <w:sz w:val="20"/>
          <w:szCs w:val="20"/>
          <w:lang w:eastAsia="ja-JP"/>
        </w:rPr>
        <w:t>(i.e. including all CCs) to a</w:t>
      </w:r>
      <w:r>
        <w:rPr>
          <w:rFonts w:eastAsia="MS Mincho"/>
          <w:b/>
          <w:iCs/>
          <w:sz w:val="20"/>
          <w:szCs w:val="20"/>
          <w:lang w:eastAsia="ja-JP"/>
        </w:rPr>
        <w:t xml:space="preserve"> 2-symbol</w:t>
      </w:r>
      <w:r w:rsidRPr="005F5B3F">
        <w:rPr>
          <w:rFonts w:eastAsia="MS Mincho"/>
          <w:b/>
          <w:i/>
          <w:sz w:val="20"/>
          <w:szCs w:val="20"/>
          <w:lang w:eastAsia="ja-JP"/>
        </w:rPr>
        <w:t xml:space="preserve"> </w:t>
      </w:r>
      <w:proofErr w:type="spellStart"/>
      <w:r w:rsidRPr="005F5B3F">
        <w:rPr>
          <w:rFonts w:eastAsia="MS Mincho"/>
          <w:b/>
          <w:iCs/>
          <w:sz w:val="20"/>
          <w:szCs w:val="20"/>
          <w:lang w:eastAsia="ja-JP"/>
        </w:rPr>
        <w:t>sPDSCH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in </w:t>
      </w:r>
      <w:proofErr w:type="spellStart"/>
      <w:r w:rsidR="000D5362"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TTI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>/</w:t>
      </w:r>
      <w:r>
        <w:rPr>
          <w:rFonts w:eastAsia="MS Mincho"/>
          <w:b/>
          <w:iCs/>
          <w:sz w:val="20"/>
          <w:szCs w:val="20"/>
          <w:lang w:eastAsia="ja-JP"/>
        </w:rPr>
        <w:t>slot</w:t>
      </w: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n (i.e. including all CCs):</w:t>
      </w:r>
    </w:p>
    <w:p w14:paraId="72D8B93B" w14:textId="5C52E094" w:rsidR="005F5B3F" w:rsidRPr="005F5B3F" w:rsidRDefault="005F5B3F" w:rsidP="000D5362">
      <w:pPr>
        <w:pStyle w:val="ListParagraph"/>
        <w:numPr>
          <w:ilvl w:val="1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Whether the UE skips processing </w:t>
      </w:r>
      <w:r w:rsidR="000D5362">
        <w:rPr>
          <w:rFonts w:eastAsia="MS Mincho"/>
          <w:b/>
          <w:iCs/>
          <w:sz w:val="20"/>
          <w:szCs w:val="20"/>
          <w:lang w:eastAsia="ja-JP"/>
        </w:rPr>
        <w:t xml:space="preserve">1-slot </w:t>
      </w:r>
      <w:proofErr w:type="spellStart"/>
      <w:r w:rsidR="000D5362"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PDSCH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>(s) is up to the UE implementation.</w:t>
      </w:r>
    </w:p>
    <w:p w14:paraId="7F46FF12" w14:textId="301BDD6F" w:rsidR="005F5B3F" w:rsidRPr="005F5B3F" w:rsidRDefault="005F5B3F" w:rsidP="000D5362">
      <w:pPr>
        <w:pStyle w:val="ListParagraph"/>
        <w:numPr>
          <w:ilvl w:val="1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In case UE skips </w:t>
      </w:r>
      <w:r w:rsidR="000D5362">
        <w:rPr>
          <w:rFonts w:eastAsia="MS Mincho"/>
          <w:b/>
          <w:iCs/>
          <w:sz w:val="20"/>
          <w:szCs w:val="20"/>
          <w:lang w:eastAsia="ja-JP"/>
        </w:rPr>
        <w:t xml:space="preserve">1-slot </w:t>
      </w:r>
      <w:proofErr w:type="spellStart"/>
      <w:r w:rsidR="000D5362"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PDSCH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processing, the legacy procedures are applied. If the UE skips decoding, the physical layer indicates to higher layers that the transport block(s) is not successfully decoded.</w:t>
      </w:r>
    </w:p>
    <w:p w14:paraId="61B45271" w14:textId="765DE009" w:rsidR="005F5B3F" w:rsidRPr="005F5B3F" w:rsidRDefault="005F5B3F" w:rsidP="000D5362">
      <w:pPr>
        <w:pStyle w:val="ListParagraph"/>
        <w:numPr>
          <w:ilvl w:val="1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lastRenderedPageBreak/>
        <w:t>The value of W</w:t>
      </w:r>
      <w:r w:rsidRPr="005F5B3F">
        <w:rPr>
          <w:rFonts w:eastAsia="MS Mincho"/>
          <w:b/>
          <w:iCs/>
          <w:sz w:val="20"/>
          <w:szCs w:val="20"/>
          <w:vertAlign w:val="subscript"/>
          <w:lang w:eastAsia="ja-JP"/>
        </w:rPr>
        <w:t>DL</w:t>
      </w: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is a UE capability with the value range of 0 to k-1, where k is the DL HARQ processing time</w:t>
      </w:r>
      <w:r w:rsidR="000D5362">
        <w:rPr>
          <w:rFonts w:eastAsia="MS Mincho"/>
          <w:b/>
          <w:iCs/>
          <w:sz w:val="20"/>
          <w:szCs w:val="20"/>
          <w:lang w:eastAsia="ja-JP"/>
        </w:rPr>
        <w:t xml:space="preserve"> for 1-slot </w:t>
      </w:r>
      <w:proofErr w:type="spellStart"/>
      <w:r w:rsidR="000D5362">
        <w:rPr>
          <w:rFonts w:eastAsia="MS Mincho"/>
          <w:b/>
          <w:iCs/>
          <w:sz w:val="20"/>
          <w:szCs w:val="20"/>
          <w:lang w:eastAsia="ja-JP"/>
        </w:rPr>
        <w:t>sPDSCH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. </w:t>
      </w:r>
    </w:p>
    <w:p w14:paraId="5DCBB176" w14:textId="764845CA" w:rsidR="005F5B3F" w:rsidRPr="005F5B3F" w:rsidRDefault="005F5B3F" w:rsidP="000D5362">
      <w:pPr>
        <w:pStyle w:val="ListParagraph"/>
        <w:numPr>
          <w:ilvl w:val="1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The UE should attempt to skip the processing of as small number of </w:t>
      </w:r>
      <w:r w:rsidR="000D5362">
        <w:rPr>
          <w:rFonts w:eastAsia="MS Mincho"/>
          <w:b/>
          <w:iCs/>
          <w:sz w:val="20"/>
          <w:szCs w:val="20"/>
          <w:lang w:eastAsia="ja-JP"/>
        </w:rPr>
        <w:t xml:space="preserve">1-slot </w:t>
      </w:r>
      <w:proofErr w:type="spellStart"/>
      <w:r w:rsidR="000D5362"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PDSCH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>(s) as possible.</w:t>
      </w:r>
    </w:p>
    <w:p w14:paraId="6A63D1BC" w14:textId="77777777" w:rsidR="005F5B3F" w:rsidRPr="005F5B3F" w:rsidRDefault="005F5B3F" w:rsidP="000D5362">
      <w:pPr>
        <w:jc w:val="both"/>
        <w:rPr>
          <w:rFonts w:eastAsia="MS Mincho"/>
          <w:b/>
          <w:iCs/>
          <w:lang w:eastAsia="ja-JP"/>
        </w:rPr>
      </w:pPr>
    </w:p>
    <w:p w14:paraId="1271F948" w14:textId="4ED4D2CE" w:rsidR="005F5B3F" w:rsidRPr="005F5B3F" w:rsidRDefault="005F5B3F" w:rsidP="000D5362">
      <w:pPr>
        <w:pStyle w:val="ListParagraph"/>
        <w:numPr>
          <w:ilvl w:val="0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In case of switching from the reception of </w:t>
      </w:r>
      <w:r w:rsidR="000D5362">
        <w:rPr>
          <w:rFonts w:eastAsia="MS Mincho"/>
          <w:b/>
          <w:iCs/>
          <w:sz w:val="20"/>
          <w:szCs w:val="20"/>
          <w:lang w:eastAsia="ja-JP"/>
        </w:rPr>
        <w:t xml:space="preserve">1-slot </w:t>
      </w:r>
      <w:proofErr w:type="spellStart"/>
      <w:r w:rsidR="000D5362"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PUSCH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grants within </w:t>
      </w:r>
      <w:proofErr w:type="spellStart"/>
      <w:r w:rsidR="000D5362"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TTIs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n-W</w:t>
      </w:r>
      <w:r w:rsidRPr="005F5B3F">
        <w:rPr>
          <w:rFonts w:eastAsia="MS Mincho"/>
          <w:b/>
          <w:iCs/>
          <w:sz w:val="20"/>
          <w:szCs w:val="20"/>
          <w:vertAlign w:val="subscript"/>
          <w:lang w:eastAsia="ja-JP"/>
        </w:rPr>
        <w:t>UL</w:t>
      </w: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to n-1 (i.e. including all CCs) to the </w:t>
      </w:r>
      <w:r w:rsidR="000D5362">
        <w:rPr>
          <w:rFonts w:eastAsia="MS Mincho"/>
          <w:b/>
          <w:iCs/>
          <w:sz w:val="20"/>
          <w:szCs w:val="20"/>
          <w:lang w:eastAsia="ja-JP"/>
        </w:rPr>
        <w:t xml:space="preserve">2-symbol </w:t>
      </w:r>
      <w:proofErr w:type="spellStart"/>
      <w:r w:rsidRPr="005F5B3F">
        <w:rPr>
          <w:rFonts w:eastAsia="MS Mincho"/>
          <w:b/>
          <w:iCs/>
          <w:sz w:val="20"/>
          <w:szCs w:val="20"/>
          <w:lang w:eastAsia="ja-JP"/>
        </w:rPr>
        <w:t>sPUSCH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grant in </w:t>
      </w:r>
      <w:proofErr w:type="spellStart"/>
      <w:r w:rsidR="000D5362"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TTI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>/</w:t>
      </w:r>
      <w:r w:rsidR="000D5362">
        <w:rPr>
          <w:rFonts w:eastAsia="MS Mincho"/>
          <w:b/>
          <w:iCs/>
          <w:sz w:val="20"/>
          <w:szCs w:val="20"/>
          <w:lang w:eastAsia="ja-JP"/>
        </w:rPr>
        <w:t>slot</w:t>
      </w: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n (i.e. including all CCs):</w:t>
      </w:r>
    </w:p>
    <w:p w14:paraId="39750CC8" w14:textId="0083101E" w:rsidR="005F5B3F" w:rsidRPr="005F5B3F" w:rsidRDefault="005F5B3F" w:rsidP="000D5362">
      <w:pPr>
        <w:pStyle w:val="ListParagraph"/>
        <w:numPr>
          <w:ilvl w:val="1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>Whether the UE skips processing/transmission of</w:t>
      </w:r>
      <w:r w:rsidR="000D5362">
        <w:rPr>
          <w:rFonts w:eastAsia="MS Mincho"/>
          <w:b/>
          <w:iCs/>
          <w:sz w:val="20"/>
          <w:szCs w:val="20"/>
          <w:lang w:eastAsia="ja-JP"/>
        </w:rPr>
        <w:t xml:space="preserve"> 1-slot </w:t>
      </w:r>
      <w:proofErr w:type="spellStart"/>
      <w:r w:rsidR="000D5362"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PUSCH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(s) is up to the UE implementation. </w:t>
      </w:r>
    </w:p>
    <w:p w14:paraId="5A783563" w14:textId="3E6A8604" w:rsidR="005F5B3F" w:rsidRPr="005F5B3F" w:rsidRDefault="005F5B3F" w:rsidP="000D5362">
      <w:pPr>
        <w:pStyle w:val="ListParagraph"/>
        <w:numPr>
          <w:ilvl w:val="1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As in case of </w:t>
      </w:r>
      <w:proofErr w:type="spellStart"/>
      <w:r w:rsidRPr="005F5B3F">
        <w:rPr>
          <w:rFonts w:eastAsia="MS Mincho"/>
          <w:b/>
          <w:iCs/>
          <w:sz w:val="20"/>
          <w:szCs w:val="20"/>
          <w:lang w:eastAsia="ja-JP"/>
        </w:rPr>
        <w:t>eLAA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procedures, also in case of skipping, the UE should request data from higher layers based on the issued </w:t>
      </w:r>
      <w:r w:rsidR="000D5362">
        <w:rPr>
          <w:rFonts w:eastAsia="MS Mincho"/>
          <w:b/>
          <w:iCs/>
          <w:sz w:val="20"/>
          <w:szCs w:val="20"/>
          <w:lang w:eastAsia="ja-JP"/>
        </w:rPr>
        <w:t xml:space="preserve">1-slot </w:t>
      </w:r>
      <w:proofErr w:type="spellStart"/>
      <w:r w:rsidR="000D5362"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PUSCH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grant(s)</w:t>
      </w:r>
    </w:p>
    <w:p w14:paraId="50A503E9" w14:textId="41AAF025" w:rsidR="005F5B3F" w:rsidRPr="005F5B3F" w:rsidRDefault="005F5B3F" w:rsidP="000D5362">
      <w:pPr>
        <w:pStyle w:val="ListParagraph"/>
        <w:numPr>
          <w:ilvl w:val="1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>The value of W</w:t>
      </w:r>
      <w:r w:rsidRPr="005F5B3F">
        <w:rPr>
          <w:rFonts w:eastAsia="MS Mincho"/>
          <w:b/>
          <w:iCs/>
          <w:sz w:val="20"/>
          <w:szCs w:val="20"/>
          <w:vertAlign w:val="subscript"/>
          <w:lang w:eastAsia="ja-JP"/>
        </w:rPr>
        <w:t>UL</w:t>
      </w: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is a UE capability with the value range of 0 to k-1, where k is the </w:t>
      </w:r>
      <w:r w:rsidR="000D5362">
        <w:rPr>
          <w:rFonts w:eastAsia="MS Mincho"/>
          <w:b/>
          <w:iCs/>
          <w:sz w:val="20"/>
          <w:szCs w:val="20"/>
          <w:lang w:eastAsia="ja-JP"/>
        </w:rPr>
        <w:t>1-slot</w:t>
      </w: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TTI UL scheduling time.</w:t>
      </w:r>
    </w:p>
    <w:p w14:paraId="6593DF87" w14:textId="626012E1" w:rsidR="005F5B3F" w:rsidRPr="005F5B3F" w:rsidRDefault="005F5B3F" w:rsidP="000D5362">
      <w:pPr>
        <w:pStyle w:val="ListParagraph"/>
        <w:numPr>
          <w:ilvl w:val="1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>The UE should attempt to skip the processing/transmission of as small number of</w:t>
      </w:r>
      <w:r w:rsidR="000D5362">
        <w:rPr>
          <w:rFonts w:eastAsia="MS Mincho"/>
          <w:b/>
          <w:iCs/>
          <w:sz w:val="20"/>
          <w:szCs w:val="20"/>
          <w:lang w:eastAsia="ja-JP"/>
        </w:rPr>
        <w:t xml:space="preserve"> 1-slot </w:t>
      </w:r>
      <w:proofErr w:type="spellStart"/>
      <w:r w:rsidR="000D5362"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PUSCH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>(s) as possible.</w:t>
      </w:r>
    </w:p>
    <w:p w14:paraId="497387A5" w14:textId="4C474270" w:rsidR="005F5B3F" w:rsidRPr="005F5B3F" w:rsidRDefault="005F5B3F" w:rsidP="005F5B3F">
      <w:pPr>
        <w:jc w:val="both"/>
        <w:rPr>
          <w:bCs/>
          <w:iCs/>
        </w:rPr>
      </w:pPr>
    </w:p>
    <w:bookmarkEnd w:id="3"/>
    <w:p w14:paraId="2F77E7C7" w14:textId="4E195D4E" w:rsidR="00491EEE" w:rsidRDefault="000A685B" w:rsidP="00843B71">
      <w:pPr>
        <w:pStyle w:val="Heading1"/>
        <w:jc w:val="both"/>
      </w:pPr>
      <w:r>
        <w:t>3</w:t>
      </w:r>
      <w:r w:rsidR="00491EEE" w:rsidRPr="00E05A22">
        <w:tab/>
        <w:t xml:space="preserve">Conclusions </w:t>
      </w:r>
    </w:p>
    <w:p w14:paraId="2F76C39A" w14:textId="3BEEE3EE" w:rsidR="000D5362" w:rsidRPr="005F5B3F" w:rsidRDefault="00332535" w:rsidP="000D5362">
      <w:pPr>
        <w:overflowPunct/>
        <w:autoSpaceDE/>
        <w:autoSpaceDN/>
        <w:adjustRightInd/>
        <w:spacing w:after="0"/>
        <w:jc w:val="both"/>
        <w:textAlignment w:val="auto"/>
        <w:rPr>
          <w:b/>
          <w:iCs/>
        </w:rPr>
      </w:pPr>
      <w:r>
        <w:rPr>
          <w:b/>
          <w:iCs/>
        </w:rPr>
        <w:t>Proposal 1</w:t>
      </w:r>
      <w:r w:rsidR="000D5362" w:rsidRPr="005F5B3F">
        <w:rPr>
          <w:b/>
          <w:iCs/>
        </w:rPr>
        <w:t xml:space="preserve">: </w:t>
      </w:r>
    </w:p>
    <w:p w14:paraId="7A3AC083" w14:textId="77777777" w:rsidR="000D5362" w:rsidRPr="005F5B3F" w:rsidRDefault="000D5362" w:rsidP="000D5362">
      <w:pPr>
        <w:pStyle w:val="ListParagraph"/>
        <w:numPr>
          <w:ilvl w:val="0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In case of switching from </w:t>
      </w:r>
      <w:r>
        <w:rPr>
          <w:rFonts w:eastAsia="MS Mincho"/>
          <w:b/>
          <w:iCs/>
          <w:sz w:val="20"/>
          <w:szCs w:val="20"/>
          <w:lang w:eastAsia="ja-JP"/>
        </w:rPr>
        <w:t>1-slot</w:t>
      </w: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PDSCH scheduled within </w:t>
      </w:r>
      <w:proofErr w:type="spellStart"/>
      <w:r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TTIs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n-W</w:t>
      </w:r>
      <w:r w:rsidRPr="005F5B3F">
        <w:rPr>
          <w:rFonts w:eastAsia="MS Mincho"/>
          <w:b/>
          <w:iCs/>
          <w:sz w:val="20"/>
          <w:szCs w:val="20"/>
          <w:vertAlign w:val="subscript"/>
          <w:lang w:eastAsia="ja-JP"/>
        </w:rPr>
        <w:t>DL</w:t>
      </w: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to n-1</w:t>
      </w:r>
      <w:r>
        <w:rPr>
          <w:rFonts w:eastAsia="MS Mincho"/>
          <w:b/>
          <w:iCs/>
          <w:sz w:val="20"/>
          <w:szCs w:val="20"/>
          <w:lang w:eastAsia="ja-JP"/>
        </w:rPr>
        <w:t xml:space="preserve"> </w:t>
      </w:r>
      <w:r w:rsidRPr="005F5B3F">
        <w:rPr>
          <w:rFonts w:eastAsia="MS Mincho"/>
          <w:b/>
          <w:iCs/>
          <w:sz w:val="20"/>
          <w:szCs w:val="20"/>
          <w:lang w:eastAsia="ja-JP"/>
        </w:rPr>
        <w:t>(i.e. including all CCs) to a</w:t>
      </w:r>
      <w:r>
        <w:rPr>
          <w:rFonts w:eastAsia="MS Mincho"/>
          <w:b/>
          <w:iCs/>
          <w:sz w:val="20"/>
          <w:szCs w:val="20"/>
          <w:lang w:eastAsia="ja-JP"/>
        </w:rPr>
        <w:t xml:space="preserve"> 2-symbol</w:t>
      </w:r>
      <w:r w:rsidRPr="005F5B3F">
        <w:rPr>
          <w:rFonts w:eastAsia="MS Mincho"/>
          <w:b/>
          <w:i/>
          <w:sz w:val="20"/>
          <w:szCs w:val="20"/>
          <w:lang w:eastAsia="ja-JP"/>
        </w:rPr>
        <w:t xml:space="preserve"> </w:t>
      </w:r>
      <w:proofErr w:type="spellStart"/>
      <w:r w:rsidRPr="005F5B3F">
        <w:rPr>
          <w:rFonts w:eastAsia="MS Mincho"/>
          <w:b/>
          <w:iCs/>
          <w:sz w:val="20"/>
          <w:szCs w:val="20"/>
          <w:lang w:eastAsia="ja-JP"/>
        </w:rPr>
        <w:t>sPDSCH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in </w:t>
      </w:r>
      <w:proofErr w:type="spellStart"/>
      <w:r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TTI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>/</w:t>
      </w:r>
      <w:r>
        <w:rPr>
          <w:rFonts w:eastAsia="MS Mincho"/>
          <w:b/>
          <w:iCs/>
          <w:sz w:val="20"/>
          <w:szCs w:val="20"/>
          <w:lang w:eastAsia="ja-JP"/>
        </w:rPr>
        <w:t>slot</w:t>
      </w: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n (i.e. including all CCs):</w:t>
      </w:r>
    </w:p>
    <w:p w14:paraId="3AF84C10" w14:textId="77777777" w:rsidR="000D5362" w:rsidRPr="005F5B3F" w:rsidRDefault="000D5362" w:rsidP="000D5362">
      <w:pPr>
        <w:pStyle w:val="ListParagraph"/>
        <w:numPr>
          <w:ilvl w:val="1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Whether the UE skips processing </w:t>
      </w:r>
      <w:r>
        <w:rPr>
          <w:rFonts w:eastAsia="MS Mincho"/>
          <w:b/>
          <w:iCs/>
          <w:sz w:val="20"/>
          <w:szCs w:val="20"/>
          <w:lang w:eastAsia="ja-JP"/>
        </w:rPr>
        <w:t xml:space="preserve">1-slot </w:t>
      </w:r>
      <w:proofErr w:type="spellStart"/>
      <w:r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PDSCH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>(s) is up to the UE implementation.</w:t>
      </w:r>
    </w:p>
    <w:p w14:paraId="628ADFFF" w14:textId="77777777" w:rsidR="000D5362" w:rsidRPr="005F5B3F" w:rsidRDefault="000D5362" w:rsidP="000D5362">
      <w:pPr>
        <w:pStyle w:val="ListParagraph"/>
        <w:numPr>
          <w:ilvl w:val="1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In case UE skips </w:t>
      </w:r>
      <w:r>
        <w:rPr>
          <w:rFonts w:eastAsia="MS Mincho"/>
          <w:b/>
          <w:iCs/>
          <w:sz w:val="20"/>
          <w:szCs w:val="20"/>
          <w:lang w:eastAsia="ja-JP"/>
        </w:rPr>
        <w:t xml:space="preserve">1-slot </w:t>
      </w:r>
      <w:proofErr w:type="spellStart"/>
      <w:r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PDSCH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processing, the legacy procedures are applied. If the UE skips decoding, the physical layer indicates to higher layers that the transport block(s) is not successfully decoded.</w:t>
      </w:r>
    </w:p>
    <w:p w14:paraId="04C01FD8" w14:textId="77777777" w:rsidR="000D5362" w:rsidRPr="005F5B3F" w:rsidRDefault="000D5362" w:rsidP="000D5362">
      <w:pPr>
        <w:pStyle w:val="ListParagraph"/>
        <w:numPr>
          <w:ilvl w:val="1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>The value of W</w:t>
      </w:r>
      <w:r w:rsidRPr="005F5B3F">
        <w:rPr>
          <w:rFonts w:eastAsia="MS Mincho"/>
          <w:b/>
          <w:iCs/>
          <w:sz w:val="20"/>
          <w:szCs w:val="20"/>
          <w:vertAlign w:val="subscript"/>
          <w:lang w:eastAsia="ja-JP"/>
        </w:rPr>
        <w:t>DL</w:t>
      </w: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is a UE capability with the value range of 0 to k-1, where k is the DL HARQ processing time</w:t>
      </w:r>
      <w:r>
        <w:rPr>
          <w:rFonts w:eastAsia="MS Mincho"/>
          <w:b/>
          <w:iCs/>
          <w:sz w:val="20"/>
          <w:szCs w:val="20"/>
          <w:lang w:eastAsia="ja-JP"/>
        </w:rPr>
        <w:t xml:space="preserve"> for 1-slot </w:t>
      </w:r>
      <w:proofErr w:type="spellStart"/>
      <w:r>
        <w:rPr>
          <w:rFonts w:eastAsia="MS Mincho"/>
          <w:b/>
          <w:iCs/>
          <w:sz w:val="20"/>
          <w:szCs w:val="20"/>
          <w:lang w:eastAsia="ja-JP"/>
        </w:rPr>
        <w:t>sPDSCH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. </w:t>
      </w:r>
    </w:p>
    <w:p w14:paraId="59924BA7" w14:textId="77777777" w:rsidR="000D5362" w:rsidRPr="005F5B3F" w:rsidRDefault="000D5362" w:rsidP="000D5362">
      <w:pPr>
        <w:pStyle w:val="ListParagraph"/>
        <w:numPr>
          <w:ilvl w:val="1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The UE should attempt to skip the processing of as small number of </w:t>
      </w:r>
      <w:r>
        <w:rPr>
          <w:rFonts w:eastAsia="MS Mincho"/>
          <w:b/>
          <w:iCs/>
          <w:sz w:val="20"/>
          <w:szCs w:val="20"/>
          <w:lang w:eastAsia="ja-JP"/>
        </w:rPr>
        <w:t xml:space="preserve">1-slot </w:t>
      </w:r>
      <w:proofErr w:type="spellStart"/>
      <w:r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PDSCH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>(s) as possible.</w:t>
      </w:r>
    </w:p>
    <w:p w14:paraId="5C6D299F" w14:textId="77777777" w:rsidR="000D5362" w:rsidRPr="005F5B3F" w:rsidRDefault="000D5362" w:rsidP="000D5362">
      <w:pPr>
        <w:jc w:val="both"/>
        <w:rPr>
          <w:rFonts w:eastAsia="MS Mincho"/>
          <w:b/>
          <w:iCs/>
          <w:lang w:eastAsia="ja-JP"/>
        </w:rPr>
      </w:pPr>
    </w:p>
    <w:p w14:paraId="62E29E70" w14:textId="77777777" w:rsidR="000D5362" w:rsidRPr="005F5B3F" w:rsidRDefault="000D5362" w:rsidP="000D5362">
      <w:pPr>
        <w:pStyle w:val="ListParagraph"/>
        <w:numPr>
          <w:ilvl w:val="0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In case of switching from the reception of </w:t>
      </w:r>
      <w:r>
        <w:rPr>
          <w:rFonts w:eastAsia="MS Mincho"/>
          <w:b/>
          <w:iCs/>
          <w:sz w:val="20"/>
          <w:szCs w:val="20"/>
          <w:lang w:eastAsia="ja-JP"/>
        </w:rPr>
        <w:t xml:space="preserve">1-slot </w:t>
      </w:r>
      <w:proofErr w:type="spellStart"/>
      <w:r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PUSCH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grants within </w:t>
      </w:r>
      <w:proofErr w:type="spellStart"/>
      <w:r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TTIs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n-W</w:t>
      </w:r>
      <w:r w:rsidRPr="005F5B3F">
        <w:rPr>
          <w:rFonts w:eastAsia="MS Mincho"/>
          <w:b/>
          <w:iCs/>
          <w:sz w:val="20"/>
          <w:szCs w:val="20"/>
          <w:vertAlign w:val="subscript"/>
          <w:lang w:eastAsia="ja-JP"/>
        </w:rPr>
        <w:t>UL</w:t>
      </w: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to n-1 (i.e. including all CCs) to the </w:t>
      </w:r>
      <w:r>
        <w:rPr>
          <w:rFonts w:eastAsia="MS Mincho"/>
          <w:b/>
          <w:iCs/>
          <w:sz w:val="20"/>
          <w:szCs w:val="20"/>
          <w:lang w:eastAsia="ja-JP"/>
        </w:rPr>
        <w:t xml:space="preserve">2-symbol </w:t>
      </w:r>
      <w:proofErr w:type="spellStart"/>
      <w:r w:rsidRPr="005F5B3F">
        <w:rPr>
          <w:rFonts w:eastAsia="MS Mincho"/>
          <w:b/>
          <w:iCs/>
          <w:sz w:val="20"/>
          <w:szCs w:val="20"/>
          <w:lang w:eastAsia="ja-JP"/>
        </w:rPr>
        <w:t>sPUSCH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grant in </w:t>
      </w:r>
      <w:proofErr w:type="spellStart"/>
      <w:r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TTI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>/</w:t>
      </w:r>
      <w:r>
        <w:rPr>
          <w:rFonts w:eastAsia="MS Mincho"/>
          <w:b/>
          <w:iCs/>
          <w:sz w:val="20"/>
          <w:szCs w:val="20"/>
          <w:lang w:eastAsia="ja-JP"/>
        </w:rPr>
        <w:t>slot</w:t>
      </w: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n (i.e. including all CCs):</w:t>
      </w:r>
    </w:p>
    <w:p w14:paraId="2AE51B2F" w14:textId="77777777" w:rsidR="000D5362" w:rsidRPr="005F5B3F" w:rsidRDefault="000D5362" w:rsidP="000D5362">
      <w:pPr>
        <w:pStyle w:val="ListParagraph"/>
        <w:numPr>
          <w:ilvl w:val="1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>Whether the UE skips processing/transmission of</w:t>
      </w:r>
      <w:r>
        <w:rPr>
          <w:rFonts w:eastAsia="MS Mincho"/>
          <w:b/>
          <w:iCs/>
          <w:sz w:val="20"/>
          <w:szCs w:val="20"/>
          <w:lang w:eastAsia="ja-JP"/>
        </w:rPr>
        <w:t xml:space="preserve"> 1-slot </w:t>
      </w:r>
      <w:proofErr w:type="spellStart"/>
      <w:r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PUSCH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(s) is up to the UE implementation. </w:t>
      </w:r>
    </w:p>
    <w:p w14:paraId="3250B484" w14:textId="77777777" w:rsidR="000D5362" w:rsidRPr="005F5B3F" w:rsidRDefault="000D5362" w:rsidP="000D5362">
      <w:pPr>
        <w:pStyle w:val="ListParagraph"/>
        <w:numPr>
          <w:ilvl w:val="1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As in case of </w:t>
      </w:r>
      <w:proofErr w:type="spellStart"/>
      <w:r w:rsidRPr="005F5B3F">
        <w:rPr>
          <w:rFonts w:eastAsia="MS Mincho"/>
          <w:b/>
          <w:iCs/>
          <w:sz w:val="20"/>
          <w:szCs w:val="20"/>
          <w:lang w:eastAsia="ja-JP"/>
        </w:rPr>
        <w:t>eLAA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procedures, also in case of skipping, the UE should request data from higher layers based on the issued </w:t>
      </w:r>
      <w:r>
        <w:rPr>
          <w:rFonts w:eastAsia="MS Mincho"/>
          <w:b/>
          <w:iCs/>
          <w:sz w:val="20"/>
          <w:szCs w:val="20"/>
          <w:lang w:eastAsia="ja-JP"/>
        </w:rPr>
        <w:t xml:space="preserve">1-slot </w:t>
      </w:r>
      <w:proofErr w:type="spellStart"/>
      <w:r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PUSCH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grant(s)</w:t>
      </w:r>
    </w:p>
    <w:p w14:paraId="5D29E8A5" w14:textId="77777777" w:rsidR="000D5362" w:rsidRPr="005F5B3F" w:rsidRDefault="000D5362" w:rsidP="000D5362">
      <w:pPr>
        <w:pStyle w:val="ListParagraph"/>
        <w:numPr>
          <w:ilvl w:val="1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>The value of W</w:t>
      </w:r>
      <w:r w:rsidRPr="005F5B3F">
        <w:rPr>
          <w:rFonts w:eastAsia="MS Mincho"/>
          <w:b/>
          <w:iCs/>
          <w:sz w:val="20"/>
          <w:szCs w:val="20"/>
          <w:vertAlign w:val="subscript"/>
          <w:lang w:eastAsia="ja-JP"/>
        </w:rPr>
        <w:t>UL</w:t>
      </w: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is a UE capability with the value range of 0 to k-1, where k is the </w:t>
      </w:r>
      <w:r>
        <w:rPr>
          <w:rFonts w:eastAsia="MS Mincho"/>
          <w:b/>
          <w:iCs/>
          <w:sz w:val="20"/>
          <w:szCs w:val="20"/>
          <w:lang w:eastAsia="ja-JP"/>
        </w:rPr>
        <w:t>1-slot</w:t>
      </w:r>
      <w:r w:rsidRPr="005F5B3F">
        <w:rPr>
          <w:rFonts w:eastAsia="MS Mincho"/>
          <w:b/>
          <w:iCs/>
          <w:sz w:val="20"/>
          <w:szCs w:val="20"/>
          <w:lang w:eastAsia="ja-JP"/>
        </w:rPr>
        <w:t xml:space="preserve"> TTI UL scheduling time.</w:t>
      </w:r>
    </w:p>
    <w:p w14:paraId="2BCEE0BA" w14:textId="0FCB96A6" w:rsidR="000D5362" w:rsidRPr="005F5B3F" w:rsidRDefault="000D5362" w:rsidP="000D5362">
      <w:pPr>
        <w:pStyle w:val="ListParagraph"/>
        <w:numPr>
          <w:ilvl w:val="1"/>
          <w:numId w:val="32"/>
        </w:numPr>
        <w:jc w:val="both"/>
        <w:rPr>
          <w:rFonts w:eastAsia="MS Mincho"/>
          <w:b/>
          <w:iCs/>
          <w:sz w:val="20"/>
          <w:szCs w:val="20"/>
          <w:lang w:eastAsia="ja-JP"/>
        </w:rPr>
      </w:pPr>
      <w:r w:rsidRPr="005F5B3F">
        <w:rPr>
          <w:rFonts w:eastAsia="MS Mincho"/>
          <w:b/>
          <w:iCs/>
          <w:sz w:val="20"/>
          <w:szCs w:val="20"/>
          <w:lang w:eastAsia="ja-JP"/>
        </w:rPr>
        <w:t>The UE should attempt to skip the processing/transmission of as small number of</w:t>
      </w:r>
      <w:r>
        <w:rPr>
          <w:rFonts w:eastAsia="MS Mincho"/>
          <w:b/>
          <w:iCs/>
          <w:sz w:val="20"/>
          <w:szCs w:val="20"/>
          <w:lang w:eastAsia="ja-JP"/>
        </w:rPr>
        <w:t xml:space="preserve"> 1-slot </w:t>
      </w:r>
      <w:proofErr w:type="spellStart"/>
      <w:r>
        <w:rPr>
          <w:rFonts w:eastAsia="MS Mincho"/>
          <w:b/>
          <w:iCs/>
          <w:sz w:val="20"/>
          <w:szCs w:val="20"/>
          <w:lang w:eastAsia="ja-JP"/>
        </w:rPr>
        <w:t>s</w:t>
      </w:r>
      <w:r w:rsidRPr="005F5B3F">
        <w:rPr>
          <w:rFonts w:eastAsia="MS Mincho"/>
          <w:b/>
          <w:iCs/>
          <w:sz w:val="20"/>
          <w:szCs w:val="20"/>
          <w:lang w:eastAsia="ja-JP"/>
        </w:rPr>
        <w:t>PUSCH</w:t>
      </w:r>
      <w:proofErr w:type="spellEnd"/>
      <w:r w:rsidRPr="005F5B3F">
        <w:rPr>
          <w:rFonts w:eastAsia="MS Mincho"/>
          <w:b/>
          <w:iCs/>
          <w:sz w:val="20"/>
          <w:szCs w:val="20"/>
          <w:lang w:eastAsia="ja-JP"/>
        </w:rPr>
        <w:t>(s) as possible.</w:t>
      </w:r>
    </w:p>
    <w:p w14:paraId="47C21C92" w14:textId="2392DC7F" w:rsidR="00D926F8" w:rsidRPr="005331F7" w:rsidRDefault="00D926F8" w:rsidP="005F5B3F">
      <w:pPr>
        <w:jc w:val="both"/>
        <w:rPr>
          <w:b/>
          <w:iCs/>
        </w:rPr>
      </w:pPr>
    </w:p>
    <w:p w14:paraId="05212290" w14:textId="4CCF869D" w:rsidR="009B3BC3" w:rsidRPr="009B3BC3" w:rsidRDefault="009B3BC3" w:rsidP="00D90176">
      <w:pPr>
        <w:jc w:val="both"/>
        <w:rPr>
          <w:b/>
        </w:rPr>
      </w:pPr>
    </w:p>
    <w:sectPr w:rsidR="009B3BC3" w:rsidRPr="009B3BC3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5E1FB" w14:textId="77777777" w:rsidR="00454729" w:rsidRDefault="00454729">
      <w:r>
        <w:separator/>
      </w:r>
    </w:p>
  </w:endnote>
  <w:endnote w:type="continuationSeparator" w:id="0">
    <w:p w14:paraId="7B3C11F7" w14:textId="77777777" w:rsidR="00454729" w:rsidRDefault="00454729">
      <w:r>
        <w:continuationSeparator/>
      </w:r>
    </w:p>
  </w:endnote>
  <w:endnote w:type="continuationNotice" w:id="1">
    <w:p w14:paraId="2ED25D32" w14:textId="77777777" w:rsidR="00454729" w:rsidRDefault="004547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DC5A5E" w:rsidRDefault="00DC5A5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DC5A5E" w:rsidRDefault="00DC5A5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5E5D3706" w:rsidR="00DC5A5E" w:rsidRDefault="00DC5A5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3D3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93D3B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2C009" w14:textId="77777777" w:rsidR="00454729" w:rsidRDefault="00454729">
      <w:r>
        <w:separator/>
      </w:r>
    </w:p>
  </w:footnote>
  <w:footnote w:type="continuationSeparator" w:id="0">
    <w:p w14:paraId="5257055B" w14:textId="77777777" w:rsidR="00454729" w:rsidRDefault="00454729">
      <w:r>
        <w:continuationSeparator/>
      </w:r>
    </w:p>
  </w:footnote>
  <w:footnote w:type="continuationNotice" w:id="1">
    <w:p w14:paraId="0248A196" w14:textId="77777777" w:rsidR="00454729" w:rsidRDefault="004547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DC5A5E" w:rsidRDefault="00DC5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8F1"/>
    <w:multiLevelType w:val="hybridMultilevel"/>
    <w:tmpl w:val="9A309986"/>
    <w:lvl w:ilvl="0" w:tplc="0950AC5C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9411A"/>
    <w:multiLevelType w:val="hybridMultilevel"/>
    <w:tmpl w:val="A8682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320EA"/>
    <w:multiLevelType w:val="hybridMultilevel"/>
    <w:tmpl w:val="B6B61664"/>
    <w:lvl w:ilvl="0" w:tplc="82A8D0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D4EE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E1E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A02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C6E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C0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64C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61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84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B858C8"/>
    <w:multiLevelType w:val="hybridMultilevel"/>
    <w:tmpl w:val="5194FCCE"/>
    <w:lvl w:ilvl="0" w:tplc="1ADCC6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3A9C2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545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2CDA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EC1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02F8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8484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1652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0028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90E22"/>
    <w:multiLevelType w:val="hybridMultilevel"/>
    <w:tmpl w:val="D3B07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132A3"/>
    <w:multiLevelType w:val="hybridMultilevel"/>
    <w:tmpl w:val="C052BD6C"/>
    <w:lvl w:ilvl="0" w:tplc="5F18787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CD238F2"/>
    <w:multiLevelType w:val="hybridMultilevel"/>
    <w:tmpl w:val="EE469AD8"/>
    <w:lvl w:ilvl="0" w:tplc="A7829E36">
      <w:start w:val="1"/>
      <w:numFmt w:val="decimal"/>
      <w:lvlText w:val="%1."/>
      <w:lvlJc w:val="left"/>
      <w:pPr>
        <w:ind w:left="1619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07792"/>
    <w:multiLevelType w:val="hybridMultilevel"/>
    <w:tmpl w:val="B396F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C6468"/>
    <w:multiLevelType w:val="hybridMultilevel"/>
    <w:tmpl w:val="76E80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018BD"/>
    <w:multiLevelType w:val="hybridMultilevel"/>
    <w:tmpl w:val="BBECE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B4E95"/>
    <w:multiLevelType w:val="hybridMultilevel"/>
    <w:tmpl w:val="6FD0D690"/>
    <w:lvl w:ilvl="0" w:tplc="2C6A5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C483B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286A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86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862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ECB1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AC6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38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0B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4212A2"/>
    <w:multiLevelType w:val="hybridMultilevel"/>
    <w:tmpl w:val="54DCDA92"/>
    <w:lvl w:ilvl="0" w:tplc="1E446F9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377A4"/>
    <w:multiLevelType w:val="hybridMultilevel"/>
    <w:tmpl w:val="C1F8D8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F5562"/>
    <w:multiLevelType w:val="hybridMultilevel"/>
    <w:tmpl w:val="AF3E5474"/>
    <w:lvl w:ilvl="0" w:tplc="70B8B4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CA582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2D8607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CE4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EA7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285E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FC58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8476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CA40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96412F7"/>
    <w:multiLevelType w:val="hybridMultilevel"/>
    <w:tmpl w:val="C408DD02"/>
    <w:lvl w:ilvl="0" w:tplc="945CF10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AAB7E85"/>
    <w:multiLevelType w:val="hybridMultilevel"/>
    <w:tmpl w:val="017C4BE0"/>
    <w:lvl w:ilvl="0" w:tplc="5B1EF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8AE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A40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964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124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4C0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EC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2AC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F8C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B5EDA"/>
    <w:multiLevelType w:val="hybridMultilevel"/>
    <w:tmpl w:val="30441994"/>
    <w:lvl w:ilvl="0" w:tplc="C9AC41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7AAD9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1A0D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769B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4245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207B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16A3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6E8F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62B8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8"/>
  </w:num>
  <w:num w:numId="4">
    <w:abstractNumId w:val="1"/>
  </w:num>
  <w:num w:numId="5">
    <w:abstractNumId w:val="8"/>
  </w:num>
  <w:num w:numId="6">
    <w:abstractNumId w:val="29"/>
  </w:num>
  <w:num w:numId="7">
    <w:abstractNumId w:val="14"/>
  </w:num>
  <w:num w:numId="8">
    <w:abstractNumId w:val="15"/>
  </w:num>
  <w:num w:numId="9">
    <w:abstractNumId w:val="13"/>
  </w:num>
  <w:num w:numId="10">
    <w:abstractNumId w:val="22"/>
  </w:num>
  <w:num w:numId="11">
    <w:abstractNumId w:val="4"/>
  </w:num>
  <w:num w:numId="12">
    <w:abstractNumId w:val="9"/>
  </w:num>
  <w:num w:numId="13">
    <w:abstractNumId w:val="17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5"/>
  </w:num>
  <w:num w:numId="17">
    <w:abstractNumId w:val="23"/>
  </w:num>
  <w:num w:numId="18">
    <w:abstractNumId w:val="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"/>
  </w:num>
  <w:num w:numId="22">
    <w:abstractNumId w:val="20"/>
  </w:num>
  <w:num w:numId="23">
    <w:abstractNumId w:val="10"/>
  </w:num>
  <w:num w:numId="24">
    <w:abstractNumId w:val="16"/>
  </w:num>
  <w:num w:numId="25">
    <w:abstractNumId w:val="25"/>
  </w:num>
  <w:num w:numId="26">
    <w:abstractNumId w:val="30"/>
  </w:num>
  <w:num w:numId="27">
    <w:abstractNumId w:val="6"/>
  </w:num>
  <w:num w:numId="28">
    <w:abstractNumId w:val="26"/>
  </w:num>
  <w:num w:numId="29">
    <w:abstractNumId w:val="28"/>
  </w:num>
  <w:num w:numId="30">
    <w:abstractNumId w:val="27"/>
  </w:num>
  <w:num w:numId="31">
    <w:abstractNumId w:val="0"/>
  </w:num>
  <w:num w:numId="32">
    <w:abstractNumId w:val="19"/>
  </w:num>
  <w:num w:numId="33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060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A7E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3BF3"/>
    <w:rsid w:val="000743A0"/>
    <w:rsid w:val="000743B4"/>
    <w:rsid w:val="00074A64"/>
    <w:rsid w:val="00074BF5"/>
    <w:rsid w:val="00075680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3E19"/>
    <w:rsid w:val="000A4B74"/>
    <w:rsid w:val="000A6466"/>
    <w:rsid w:val="000A6788"/>
    <w:rsid w:val="000A685B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362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0F7B94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17FB6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924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4C39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5F2E"/>
    <w:rsid w:val="00236F71"/>
    <w:rsid w:val="00237779"/>
    <w:rsid w:val="00237AE0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0D28"/>
    <w:rsid w:val="002727C8"/>
    <w:rsid w:val="00272FEB"/>
    <w:rsid w:val="002738C9"/>
    <w:rsid w:val="00273B2D"/>
    <w:rsid w:val="00273CFB"/>
    <w:rsid w:val="002745A8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B29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6BE6"/>
    <w:rsid w:val="002F7D48"/>
    <w:rsid w:val="0030000D"/>
    <w:rsid w:val="003005AC"/>
    <w:rsid w:val="00300A26"/>
    <w:rsid w:val="003011C0"/>
    <w:rsid w:val="0030121F"/>
    <w:rsid w:val="00301890"/>
    <w:rsid w:val="00301FF3"/>
    <w:rsid w:val="003024DE"/>
    <w:rsid w:val="00302701"/>
    <w:rsid w:val="00303442"/>
    <w:rsid w:val="003044B9"/>
    <w:rsid w:val="00307063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717"/>
    <w:rsid w:val="00317050"/>
    <w:rsid w:val="00320B56"/>
    <w:rsid w:val="00320F94"/>
    <w:rsid w:val="00322BE3"/>
    <w:rsid w:val="003230B0"/>
    <w:rsid w:val="00323268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2535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1B79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3FC2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34A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8A8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016"/>
    <w:rsid w:val="00452891"/>
    <w:rsid w:val="00453DEF"/>
    <w:rsid w:val="004543E4"/>
    <w:rsid w:val="00454729"/>
    <w:rsid w:val="004548E5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691"/>
    <w:rsid w:val="00507CAF"/>
    <w:rsid w:val="00510444"/>
    <w:rsid w:val="00510644"/>
    <w:rsid w:val="00510BF8"/>
    <w:rsid w:val="005117A7"/>
    <w:rsid w:val="00511D58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1F7"/>
    <w:rsid w:val="00533215"/>
    <w:rsid w:val="005339D2"/>
    <w:rsid w:val="0053437E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200F"/>
    <w:rsid w:val="00562276"/>
    <w:rsid w:val="005622DF"/>
    <w:rsid w:val="005639EE"/>
    <w:rsid w:val="0056434D"/>
    <w:rsid w:val="005643BD"/>
    <w:rsid w:val="005649A2"/>
    <w:rsid w:val="00564D6E"/>
    <w:rsid w:val="00565FCE"/>
    <w:rsid w:val="0056710F"/>
    <w:rsid w:val="0056719E"/>
    <w:rsid w:val="00567D6E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0572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95B"/>
    <w:rsid w:val="00590C9A"/>
    <w:rsid w:val="00591331"/>
    <w:rsid w:val="00591781"/>
    <w:rsid w:val="00591921"/>
    <w:rsid w:val="00591B9C"/>
    <w:rsid w:val="00592A4A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4833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0A0"/>
    <w:rsid w:val="005E5220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3F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50A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3CB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054"/>
    <w:rsid w:val="006635A1"/>
    <w:rsid w:val="0066397B"/>
    <w:rsid w:val="00663D73"/>
    <w:rsid w:val="00665229"/>
    <w:rsid w:val="006654E8"/>
    <w:rsid w:val="00665598"/>
    <w:rsid w:val="0066566C"/>
    <w:rsid w:val="0066568F"/>
    <w:rsid w:val="00665A73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9C3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79CD"/>
    <w:rsid w:val="00697FE2"/>
    <w:rsid w:val="006A0B49"/>
    <w:rsid w:val="006A1313"/>
    <w:rsid w:val="006A2347"/>
    <w:rsid w:val="006A24B3"/>
    <w:rsid w:val="006A2A3D"/>
    <w:rsid w:val="006A344C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008E"/>
    <w:rsid w:val="006B11E7"/>
    <w:rsid w:val="006B1938"/>
    <w:rsid w:val="006B19B2"/>
    <w:rsid w:val="006B1DA2"/>
    <w:rsid w:val="006B1F5F"/>
    <w:rsid w:val="006B2064"/>
    <w:rsid w:val="006B3AD6"/>
    <w:rsid w:val="006B422E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867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10F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124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551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6A7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440"/>
    <w:rsid w:val="0075350F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5B3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0DB7"/>
    <w:rsid w:val="00801838"/>
    <w:rsid w:val="00801909"/>
    <w:rsid w:val="00801BBF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4F81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0E3A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49EF"/>
    <w:rsid w:val="008C5040"/>
    <w:rsid w:val="008C5BE7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4FCB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2F27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3D3B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3BC3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4A4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63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526"/>
    <w:rsid w:val="00A21AAA"/>
    <w:rsid w:val="00A21FEA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374BD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71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BE9"/>
    <w:rsid w:val="00AA1D12"/>
    <w:rsid w:val="00AA216B"/>
    <w:rsid w:val="00AA2241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1F0"/>
    <w:rsid w:val="00AF457C"/>
    <w:rsid w:val="00AF461C"/>
    <w:rsid w:val="00AF5363"/>
    <w:rsid w:val="00AF5494"/>
    <w:rsid w:val="00AF5CB8"/>
    <w:rsid w:val="00AF5F78"/>
    <w:rsid w:val="00AF66F1"/>
    <w:rsid w:val="00AF7EA9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2F0"/>
    <w:rsid w:val="00B336EB"/>
    <w:rsid w:val="00B3396B"/>
    <w:rsid w:val="00B33C09"/>
    <w:rsid w:val="00B34CA0"/>
    <w:rsid w:val="00B3543A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5180"/>
    <w:rsid w:val="00B46FB7"/>
    <w:rsid w:val="00B477AA"/>
    <w:rsid w:val="00B4783F"/>
    <w:rsid w:val="00B47CEF"/>
    <w:rsid w:val="00B50D90"/>
    <w:rsid w:val="00B50DBE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EDB"/>
    <w:rsid w:val="00B71A5D"/>
    <w:rsid w:val="00B71F17"/>
    <w:rsid w:val="00B72444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620A"/>
    <w:rsid w:val="00B86DBB"/>
    <w:rsid w:val="00B86FC3"/>
    <w:rsid w:val="00B901C1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1D6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A3C"/>
    <w:rsid w:val="00BD3C69"/>
    <w:rsid w:val="00BD3D7A"/>
    <w:rsid w:val="00BD435C"/>
    <w:rsid w:val="00BD471D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70A1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2876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1AC"/>
    <w:rsid w:val="00C354D0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47B1C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1C4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1C92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4EE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496C"/>
    <w:rsid w:val="00CF557C"/>
    <w:rsid w:val="00CF6AF3"/>
    <w:rsid w:val="00CF75C7"/>
    <w:rsid w:val="00D01164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A8D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07C95"/>
    <w:rsid w:val="00D10199"/>
    <w:rsid w:val="00D10FB7"/>
    <w:rsid w:val="00D11683"/>
    <w:rsid w:val="00D11873"/>
    <w:rsid w:val="00D1281A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22E4"/>
    <w:rsid w:val="00D423C9"/>
    <w:rsid w:val="00D429B7"/>
    <w:rsid w:val="00D44373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6FAD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176"/>
    <w:rsid w:val="00D90446"/>
    <w:rsid w:val="00D90D31"/>
    <w:rsid w:val="00D9120D"/>
    <w:rsid w:val="00D912DF"/>
    <w:rsid w:val="00D92265"/>
    <w:rsid w:val="00D9230B"/>
    <w:rsid w:val="00D926F8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700B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58E"/>
    <w:rsid w:val="00DB5C4A"/>
    <w:rsid w:val="00DB5D3E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A5E"/>
    <w:rsid w:val="00DC5CA9"/>
    <w:rsid w:val="00DC60E1"/>
    <w:rsid w:val="00DC6A94"/>
    <w:rsid w:val="00DC76BA"/>
    <w:rsid w:val="00DD132F"/>
    <w:rsid w:val="00DD1521"/>
    <w:rsid w:val="00DD1C2F"/>
    <w:rsid w:val="00DD1ED7"/>
    <w:rsid w:val="00DD2289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1E8"/>
    <w:rsid w:val="00DF621B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2F08"/>
    <w:rsid w:val="00E33222"/>
    <w:rsid w:val="00E33802"/>
    <w:rsid w:val="00E33814"/>
    <w:rsid w:val="00E33D97"/>
    <w:rsid w:val="00E3582D"/>
    <w:rsid w:val="00E35AC6"/>
    <w:rsid w:val="00E35F47"/>
    <w:rsid w:val="00E36306"/>
    <w:rsid w:val="00E36C4E"/>
    <w:rsid w:val="00E377BF"/>
    <w:rsid w:val="00E379BC"/>
    <w:rsid w:val="00E40E0C"/>
    <w:rsid w:val="00E42CC0"/>
    <w:rsid w:val="00E42FB4"/>
    <w:rsid w:val="00E441CF"/>
    <w:rsid w:val="00E44409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1EAA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2502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D77D6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4351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178"/>
    <w:rsid w:val="00F2357F"/>
    <w:rsid w:val="00F243AF"/>
    <w:rsid w:val="00F24A57"/>
    <w:rsid w:val="00F24F4D"/>
    <w:rsid w:val="00F25139"/>
    <w:rsid w:val="00F25166"/>
    <w:rsid w:val="00F2566F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129"/>
    <w:rsid w:val="00F44833"/>
    <w:rsid w:val="00F44D6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BA0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4EEA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2F92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F7B94"/>
    <w:rPr>
      <w:color w:val="808080"/>
    </w:rPr>
  </w:style>
  <w:style w:type="character" w:customStyle="1" w:styleId="Doc-text2Char">
    <w:name w:val="Doc-text2 Char"/>
    <w:basedOn w:val="DefaultParagraphFont"/>
    <w:link w:val="Doc-text2"/>
    <w:locked/>
    <w:rsid w:val="00B3543A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B3543A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5F5B3F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89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956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27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39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0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802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3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908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2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46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483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39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88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34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HR33RHYHUWRF-4-1710</_dlc_DocId>
    <_dlc_DocIdUrl xmlns="c06861ca-3f08-4d07-bff7-bb15bac121f4">
      <Url>https://projects.qualcomm.com/sites/pentari/_layouts/15/DocIdRedir.aspx?ID=HR33RHYHUWRF-4-1710</Url>
      <Description>HR33RHYHUWRF-4-1710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1336E-B573-413F-AF1A-85B863B11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C14F867-F440-46EC-A1FB-55723D2F3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Qualcomm User</cp:lastModifiedBy>
  <cp:revision>4</cp:revision>
  <cp:lastPrinted>2010-10-04T23:31:00Z</cp:lastPrinted>
  <dcterms:created xsi:type="dcterms:W3CDTF">2017-09-29T22:17:00Z</dcterms:created>
  <dcterms:modified xsi:type="dcterms:W3CDTF">2017-09-30T03:00:00Z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1285913743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719254f7-afb9-4fcc-bc82-94c1039d0c32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-231200248</vt:i4>
  </property>
  <property fmtid="{D5CDD505-2E9C-101B-9397-08002B2CF9AE}" pid="12" name="_ReviewingToolsShownOnce">
    <vt:lpwstr/>
  </property>
</Properties>
</file>